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附件三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eastAsia="zh-CN"/>
        </w:rPr>
        <w:t>维维律所</w:t>
      </w:r>
      <w:r>
        <w:rPr>
          <w:rFonts w:hint="eastAsia"/>
          <w:b/>
          <w:bCs/>
          <w:sz w:val="28"/>
          <w:szCs w:val="28"/>
        </w:rPr>
        <w:t>防疫信息报备</w:t>
      </w:r>
      <w:r>
        <w:rPr>
          <w:rFonts w:hint="eastAsia"/>
          <w:b/>
          <w:bCs/>
          <w:sz w:val="28"/>
          <w:szCs w:val="28"/>
          <w:lang w:eastAsia="zh-CN"/>
        </w:rPr>
        <w:t>汇总表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189"/>
        <w:gridCol w:w="2448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报备项目要求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报备情况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本所律师从湖北、浙江等疫情高发地区返徐人员情况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本所律师与确诊病患人员接触情况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本所律师自我隔离或被采取隔离措施人员情况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本所律师被确诊病毒感染人员情况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当日本所律师赴外地出差及到顾问单位服务情况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当日本所律师接待当事人情况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律师事务所和本所律师抗疫捐赠和参加防疫工作情况。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遇有紧急或重大情况，每位工作人员有义务在第一时间向窦金刚报告，并通报潘琴同志负责上报。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潘琴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审批人：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窦金刚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D0611"/>
    <w:rsid w:val="696D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2020-02-09T06:56:00Z</dcterms:created>
  <dc:creator>Young璇律</dc:creator>
  <cp:lastModifiedBy>Young璇律</cp:lastModifiedBy>
  <dcterms:modified xsi:type="dcterms:W3CDTF">2020-02-09T06:59:28Z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